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8BA3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 xml:space="preserve">Il sottoscritto __________________codice fiscale _________________nato a _____________ </w:t>
      </w:r>
      <w:proofErr w:type="spellStart"/>
      <w:r w:rsidRPr="006E7006">
        <w:rPr>
          <w:rFonts w:ascii="Titillium Web" w:hAnsi="Titillium Web"/>
          <w:sz w:val="22"/>
          <w:szCs w:val="22"/>
        </w:rPr>
        <w:t>prov</w:t>
      </w:r>
      <w:proofErr w:type="spellEnd"/>
      <w:r w:rsidRPr="006E7006">
        <w:rPr>
          <w:rFonts w:ascii="Titillium Web" w:hAnsi="Titillium Web"/>
          <w:sz w:val="22"/>
          <w:szCs w:val="22"/>
        </w:rPr>
        <w:t xml:space="preserve">. ______ </w:t>
      </w:r>
      <w:proofErr w:type="gramStart"/>
      <w:r w:rsidRPr="006E7006">
        <w:rPr>
          <w:rFonts w:ascii="Titillium Web" w:hAnsi="Titillium Web"/>
          <w:sz w:val="22"/>
          <w:szCs w:val="22"/>
        </w:rPr>
        <w:t>il  _</w:t>
      </w:r>
      <w:proofErr w:type="gramEnd"/>
      <w:r w:rsidRPr="006E7006">
        <w:rPr>
          <w:rFonts w:ascii="Titillium Web" w:hAnsi="Titillium Web"/>
          <w:sz w:val="22"/>
          <w:szCs w:val="22"/>
        </w:rPr>
        <w:t xml:space="preserve">__________________, </w:t>
      </w:r>
      <w:r>
        <w:rPr>
          <w:rFonts w:ascii="Titillium Web" w:hAnsi="Titillium Web"/>
          <w:sz w:val="22"/>
          <w:szCs w:val="22"/>
        </w:rPr>
        <w:t>Referente</w:t>
      </w:r>
      <w:r w:rsidRPr="006E700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scientifico per il Dipartimento di Ingegneria dell'Informazione </w:t>
      </w:r>
      <w:r w:rsidRPr="006E7006">
        <w:rPr>
          <w:rFonts w:ascii="Titillium Web" w:hAnsi="Titillium Web"/>
          <w:sz w:val="22"/>
          <w:szCs w:val="22"/>
        </w:rPr>
        <w:t xml:space="preserve">dello </w:t>
      </w:r>
      <w:proofErr w:type="spellStart"/>
      <w:r w:rsidRPr="006E7006">
        <w:rPr>
          <w:rFonts w:ascii="Titillium Web" w:hAnsi="Titillium Web"/>
          <w:sz w:val="22"/>
          <w:szCs w:val="22"/>
        </w:rPr>
        <w:t>Spoke</w:t>
      </w:r>
      <w:proofErr w:type="spellEnd"/>
      <w:r w:rsidRPr="006E7006">
        <w:rPr>
          <w:rFonts w:ascii="Titillium Web" w:hAnsi="Titillium Web"/>
          <w:sz w:val="22"/>
          <w:szCs w:val="22"/>
        </w:rPr>
        <w:t xml:space="preserve"> _______ del Centro Nazionale/Partenariato esteso  _______(indicare i riferimenti del progetto PNRR)  consapevole delle sanzioni penali richiamate dall’art. 76 del D.P.R. 445/2000 per le ipotesi di falsità in  atti e dichiarazioni mendaci</w:t>
      </w:r>
    </w:p>
    <w:p w14:paraId="3325AE61" w14:textId="77777777" w:rsidR="00C746A8" w:rsidRPr="006E7006" w:rsidRDefault="00C746A8" w:rsidP="00C746A8">
      <w:pPr>
        <w:jc w:val="center"/>
        <w:rPr>
          <w:rFonts w:ascii="Titillium Web" w:hAnsi="Titillium Web"/>
          <w:sz w:val="22"/>
          <w:szCs w:val="22"/>
        </w:rPr>
      </w:pPr>
    </w:p>
    <w:p w14:paraId="479F81A0" w14:textId="77777777" w:rsidR="00C746A8" w:rsidRPr="006E7006" w:rsidRDefault="00C746A8" w:rsidP="00C746A8">
      <w:pPr>
        <w:jc w:val="center"/>
        <w:rPr>
          <w:rFonts w:ascii="Titillium Web" w:hAnsi="Titillium Web"/>
          <w:b/>
          <w:sz w:val="22"/>
          <w:szCs w:val="22"/>
        </w:rPr>
      </w:pPr>
      <w:r w:rsidRPr="006E7006">
        <w:rPr>
          <w:rFonts w:ascii="Titillium Web" w:hAnsi="Titillium Web"/>
          <w:b/>
          <w:sz w:val="22"/>
          <w:szCs w:val="22"/>
        </w:rPr>
        <w:t>DICHIARA</w:t>
      </w:r>
    </w:p>
    <w:p w14:paraId="4D3CAE6A" w14:textId="77777777" w:rsidR="00C746A8" w:rsidRPr="006E7006" w:rsidRDefault="00C746A8" w:rsidP="00C746A8">
      <w:pPr>
        <w:jc w:val="center"/>
        <w:rPr>
          <w:rFonts w:ascii="Titillium Web" w:hAnsi="Titillium Web"/>
          <w:b/>
          <w:sz w:val="22"/>
          <w:szCs w:val="22"/>
        </w:rPr>
      </w:pPr>
    </w:p>
    <w:p w14:paraId="2BFC09CD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la strumentazione/materiale consumabile oggetto di acquisto è relativa/o a</w:t>
      </w:r>
      <w:r>
        <w:rPr>
          <w:rFonts w:ascii="Titillium Web" w:hAnsi="Titillium Web"/>
          <w:sz w:val="22"/>
          <w:szCs w:val="22"/>
        </w:rPr>
        <w:t xml:space="preserve">lla </w:t>
      </w:r>
      <w:proofErr w:type="spellStart"/>
      <w:r>
        <w:rPr>
          <w:rFonts w:ascii="Titillium Web" w:hAnsi="Titillium Web"/>
          <w:sz w:val="22"/>
          <w:szCs w:val="22"/>
        </w:rPr>
        <w:t>Milestone</w:t>
      </w:r>
      <w:proofErr w:type="spellEnd"/>
      <w:r>
        <w:rPr>
          <w:rFonts w:ascii="Titillium Web" w:hAnsi="Titillium Web"/>
          <w:sz w:val="22"/>
          <w:szCs w:val="22"/>
        </w:rPr>
        <w:t xml:space="preserve"> ______ (numero e descrizione); </w:t>
      </w:r>
    </w:p>
    <w:p w14:paraId="7F10C98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42100188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 xml:space="preserve">Che l’acquisto rientra nella seguente area di attività: </w:t>
      </w:r>
    </w:p>
    <w:p w14:paraId="7B178EF3" w14:textId="77777777" w:rsidR="00C746A8" w:rsidRPr="006E7006" w:rsidRDefault="00C746A8" w:rsidP="00C746A8">
      <w:pPr>
        <w:ind w:left="567"/>
        <w:jc w:val="both"/>
        <w:rPr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Ricerca Fondamentale,</w:t>
      </w:r>
      <w:r w:rsidRPr="006E7006">
        <w:rPr>
          <w:sz w:val="22"/>
          <w:szCs w:val="22"/>
        </w:rPr>
        <w:t xml:space="preserve"> </w:t>
      </w:r>
    </w:p>
    <w:p w14:paraId="51D40A98" w14:textId="77777777" w:rsidR="00C746A8" w:rsidRPr="006E7006" w:rsidRDefault="00C746A8" w:rsidP="00C746A8">
      <w:pPr>
        <w:ind w:left="567"/>
        <w:jc w:val="both"/>
        <w:rPr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 󠆿</w:t>
      </w:r>
      <w:r w:rsidRPr="006E7006">
        <w:rPr>
          <w:sz w:val="22"/>
          <w:szCs w:val="22"/>
        </w:rPr>
        <w:t xml:space="preserve"> </w:t>
      </w:r>
      <w:r w:rsidRPr="006E7006">
        <w:rPr>
          <w:rFonts w:ascii="Titillium Web" w:hAnsi="Titillium Web"/>
          <w:sz w:val="22"/>
          <w:szCs w:val="22"/>
        </w:rPr>
        <w:t>Ricerca Industriale,</w:t>
      </w:r>
      <w:r w:rsidRPr="006E7006">
        <w:rPr>
          <w:sz w:val="22"/>
          <w:szCs w:val="22"/>
        </w:rPr>
        <w:t xml:space="preserve"> </w:t>
      </w:r>
    </w:p>
    <w:p w14:paraId="4EA74F0C" w14:textId="77777777" w:rsidR="00C746A8" w:rsidRPr="006E7006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 󠆿</w:t>
      </w:r>
      <w:r w:rsidRPr="006E7006">
        <w:rPr>
          <w:sz w:val="22"/>
          <w:szCs w:val="22"/>
        </w:rPr>
        <w:t xml:space="preserve"> </w:t>
      </w:r>
      <w:r w:rsidRPr="006E7006">
        <w:rPr>
          <w:rFonts w:ascii="Titillium Web" w:hAnsi="Titillium Web"/>
          <w:sz w:val="22"/>
          <w:szCs w:val="22"/>
        </w:rPr>
        <w:t xml:space="preserve">Sviluppo Sperimentale, </w:t>
      </w:r>
    </w:p>
    <w:p w14:paraId="0390536F" w14:textId="77777777" w:rsidR="00C746A8" w:rsidRPr="006E7006" w:rsidRDefault="00C746A8" w:rsidP="00C746A8">
      <w:pPr>
        <w:ind w:left="567"/>
        <w:jc w:val="both"/>
        <w:rPr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Studi di Fattibilità,</w:t>
      </w:r>
      <w:r w:rsidRPr="006E7006">
        <w:rPr>
          <w:sz w:val="22"/>
          <w:szCs w:val="22"/>
        </w:rPr>
        <w:t xml:space="preserve"> </w:t>
      </w:r>
    </w:p>
    <w:p w14:paraId="52DD7528" w14:textId="77777777" w:rsidR="00C746A8" w:rsidRPr="006E7006" w:rsidRDefault="00C746A8" w:rsidP="00C746A8">
      <w:pPr>
        <w:ind w:left="567"/>
        <w:jc w:val="both"/>
        <w:rPr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Investimenti in infrastrutture di Ricerca,</w:t>
      </w:r>
      <w:r w:rsidRPr="006E7006">
        <w:rPr>
          <w:sz w:val="22"/>
          <w:szCs w:val="22"/>
        </w:rPr>
        <w:t xml:space="preserve"> </w:t>
      </w:r>
    </w:p>
    <w:p w14:paraId="14E46357" w14:textId="77777777" w:rsidR="00C746A8" w:rsidRPr="006E7006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Aiuto all'innovazione di PMI, </w:t>
      </w:r>
    </w:p>
    <w:p w14:paraId="18C3B1FC" w14:textId="77777777" w:rsidR="00C746A8" w:rsidRPr="006E7006" w:rsidRDefault="00C746A8" w:rsidP="00C746A8">
      <w:pPr>
        <w:ind w:left="567"/>
        <w:jc w:val="both"/>
        <w:rPr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Aiuti ai poli di innovazione,</w:t>
      </w:r>
      <w:r w:rsidRPr="006E7006">
        <w:rPr>
          <w:sz w:val="22"/>
          <w:szCs w:val="22"/>
        </w:rPr>
        <w:t xml:space="preserve"> </w:t>
      </w:r>
    </w:p>
    <w:p w14:paraId="268FDEEC" w14:textId="77777777" w:rsidR="00C746A8" w:rsidRPr="006E7006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Formazione</w:t>
      </w:r>
    </w:p>
    <w:p w14:paraId="7867DD6C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43A6625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e nel seguente campo di intervento:</w:t>
      </w:r>
    </w:p>
    <w:p w14:paraId="61173882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022 - Processi di R&amp;I a bassa emissione di carbonio e di adattamento ai cambiamenti climatici; </w:t>
      </w:r>
    </w:p>
    <w:p w14:paraId="52DFC711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023 Processi di R&amp;I - Economia Circolare</w:t>
      </w:r>
    </w:p>
    <w:p w14:paraId="6DE4A9F8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009bis Investimenti in attività di R&amp;I connesse al digitale</w:t>
      </w:r>
    </w:p>
    <w:p w14:paraId="78598447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006 Investimenti in beni immateriali direttamente connessi ad attività di R&amp;I</w:t>
      </w:r>
    </w:p>
    <w:p w14:paraId="1D349B4B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019 Sostegno ai poli di innovazione</w:t>
      </w:r>
    </w:p>
    <w:p w14:paraId="06365DB2" w14:textId="77777777" w:rsidR="00C746A8" w:rsidRPr="006E7006" w:rsidRDefault="00C746A8" w:rsidP="00C746A8">
      <w:pPr>
        <w:ind w:left="851" w:hanging="284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055 Altre tipologie di infrastrutture TIC </w:t>
      </w:r>
    </w:p>
    <w:p w14:paraId="6EB53A2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51743C45" w14:textId="7CC93F40" w:rsidR="00115932" w:rsidRPr="006E7006" w:rsidRDefault="00C746A8" w:rsidP="00115932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la procedura di affidamento è coerente con la Misura finanziata dal PNRR nell’ambito de</w:t>
      </w:r>
      <w:r w:rsidR="00115932">
        <w:rPr>
          <w:rFonts w:ascii="Titillium Web" w:hAnsi="Titillium Web"/>
          <w:sz w:val="22"/>
          <w:szCs w:val="22"/>
        </w:rPr>
        <w:t>lla relativa</w:t>
      </w:r>
      <w:r w:rsidR="002B2E30">
        <w:rPr>
          <w:rFonts w:ascii="Titillium Web" w:hAnsi="Titillium Web"/>
          <w:sz w:val="22"/>
          <w:szCs w:val="22"/>
        </w:rPr>
        <w:t xml:space="preserve"> missione_componente_misura_investimento_</w:t>
      </w:r>
      <w:bookmarkStart w:id="0" w:name="_GoBack"/>
      <w:bookmarkEnd w:id="0"/>
      <w:r w:rsidRPr="006E7006">
        <w:rPr>
          <w:rFonts w:ascii="Titillium Web" w:hAnsi="Titillium Web"/>
          <w:sz w:val="22"/>
          <w:szCs w:val="22"/>
        </w:rPr>
        <w:t>riforma e gli obiettivi della procedura sono individuati in coerenza con l’art. 4 del Regolamento (UE)2021/241</w:t>
      </w:r>
      <w:r w:rsidRPr="006E7006">
        <w:rPr>
          <w:rStyle w:val="Rimandonotaapidipagina"/>
          <w:rFonts w:ascii="Titillium Web" w:hAnsi="Titillium Web"/>
          <w:sz w:val="22"/>
          <w:szCs w:val="22"/>
        </w:rPr>
        <w:footnoteReference w:id="1"/>
      </w:r>
      <w:r w:rsidRPr="006E7006">
        <w:rPr>
          <w:rFonts w:ascii="Titillium Web" w:hAnsi="Titillium Web"/>
          <w:sz w:val="22"/>
          <w:szCs w:val="22"/>
        </w:rPr>
        <w:t>;</w:t>
      </w:r>
    </w:p>
    <w:p w14:paraId="2FBD536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lastRenderedPageBreak/>
        <w:t xml:space="preserve"> </w:t>
      </w:r>
    </w:p>
    <w:p w14:paraId="0D35273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la procedura di affidamento è coerente con la programmazione di dettaglio della Misura e con il cronoprogramma dell’Intervento e del Progetto di riferimento (e in ogni caso con l’arco temporale del PNRR;</w:t>
      </w:r>
    </w:p>
    <w:p w14:paraId="4B2DC3BE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35BB1F4C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 xml:space="preserve">Che la procedura di affidamento </w:t>
      </w:r>
      <w:r>
        <w:rPr>
          <w:rFonts w:ascii="Titillium Web" w:hAnsi="Titillium Web"/>
          <w:sz w:val="22"/>
          <w:szCs w:val="22"/>
        </w:rPr>
        <w:t xml:space="preserve">permette di </w:t>
      </w:r>
      <w:r w:rsidRPr="006E7006">
        <w:rPr>
          <w:rFonts w:ascii="Titillium Web" w:hAnsi="Titillium Web"/>
          <w:sz w:val="22"/>
          <w:szCs w:val="22"/>
        </w:rPr>
        <w:t>assicur</w:t>
      </w:r>
      <w:r>
        <w:rPr>
          <w:rFonts w:ascii="Titillium Web" w:hAnsi="Titillium Web"/>
          <w:sz w:val="22"/>
          <w:szCs w:val="22"/>
        </w:rPr>
        <w:t>are</w:t>
      </w:r>
      <w:r w:rsidRPr="006E7006">
        <w:rPr>
          <w:rFonts w:ascii="Titillium Web" w:hAnsi="Titillium Web"/>
          <w:sz w:val="22"/>
          <w:szCs w:val="22"/>
        </w:rPr>
        <w:t xml:space="preserve"> l’effettiva realizzabilità di </w:t>
      </w:r>
      <w:proofErr w:type="spellStart"/>
      <w:r w:rsidRPr="006E7006">
        <w:rPr>
          <w:rFonts w:ascii="Titillium Web" w:hAnsi="Titillium Web"/>
          <w:sz w:val="22"/>
          <w:szCs w:val="22"/>
        </w:rPr>
        <w:t>milestone</w:t>
      </w:r>
      <w:proofErr w:type="spellEnd"/>
      <w:r w:rsidRPr="006E7006">
        <w:rPr>
          <w:rFonts w:ascii="Titillium Web" w:hAnsi="Titillium Web"/>
          <w:sz w:val="22"/>
          <w:szCs w:val="22"/>
        </w:rPr>
        <w:t xml:space="preserve"> e target entro le scadenze concordate a livello europeo;</w:t>
      </w:r>
    </w:p>
    <w:p w14:paraId="66AC8731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03CB41D0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la procedura di affidamento contribuisce</w:t>
      </w:r>
      <w:r>
        <w:rPr>
          <w:rFonts w:ascii="Titillium Web" w:hAnsi="Titillium Web"/>
          <w:sz w:val="22"/>
          <w:szCs w:val="22"/>
        </w:rPr>
        <w:t xml:space="preserve"> al principio del:</w:t>
      </w:r>
    </w:p>
    <w:p w14:paraId="27A88854" w14:textId="77777777" w:rsidR="00C746A8" w:rsidRPr="006E7006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</w:t>
      </w:r>
      <w:proofErr w:type="spellStart"/>
      <w:r w:rsidRPr="006E7006">
        <w:rPr>
          <w:rFonts w:ascii="Titillium Web" w:hAnsi="Titillium Web"/>
          <w:sz w:val="22"/>
          <w:szCs w:val="22"/>
        </w:rPr>
        <w:t>tagging</w:t>
      </w:r>
      <w:proofErr w:type="spellEnd"/>
      <w:r w:rsidRPr="006E7006">
        <w:rPr>
          <w:rFonts w:ascii="Titillium Web" w:hAnsi="Titillium Web"/>
          <w:sz w:val="22"/>
          <w:szCs w:val="22"/>
        </w:rPr>
        <w:t xml:space="preserve"> clima</w:t>
      </w:r>
    </w:p>
    <w:p w14:paraId="0782C819" w14:textId="77777777" w:rsidR="00C746A8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 w:rsidRPr="006E7006">
        <w:rPr>
          <w:rFonts w:ascii="Titillium Web" w:hAnsi="Titillium Web"/>
          <w:sz w:val="22"/>
          <w:szCs w:val="22"/>
        </w:rPr>
        <w:t xml:space="preserve"> </w:t>
      </w:r>
      <w:proofErr w:type="spellStart"/>
      <w:r w:rsidRPr="006E7006">
        <w:rPr>
          <w:rFonts w:ascii="Titillium Web" w:hAnsi="Titillium Web"/>
          <w:sz w:val="22"/>
          <w:szCs w:val="22"/>
        </w:rPr>
        <w:t>tagging</w:t>
      </w:r>
      <w:proofErr w:type="spellEnd"/>
      <w:r w:rsidRPr="006E7006">
        <w:rPr>
          <w:rFonts w:ascii="Titillium Web" w:hAnsi="Titillium Web"/>
          <w:sz w:val="22"/>
          <w:szCs w:val="22"/>
        </w:rPr>
        <w:t xml:space="preserve"> digitale</w:t>
      </w:r>
      <w:r>
        <w:rPr>
          <w:rStyle w:val="Rimandonotaapidipagina"/>
          <w:rFonts w:ascii="Titillium Web" w:hAnsi="Titillium Web"/>
          <w:sz w:val="22"/>
          <w:szCs w:val="22"/>
        </w:rPr>
        <w:footnoteReference w:id="2"/>
      </w:r>
    </w:p>
    <w:p w14:paraId="3F4328CB" w14:textId="77777777" w:rsidR="00C746A8" w:rsidRPr="006E7006" w:rsidRDefault="00C746A8" w:rsidP="00C746A8">
      <w:pPr>
        <w:ind w:left="567"/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Arial" w:hAnsi="Arial" w:cs="Arial"/>
          <w:sz w:val="22"/>
          <w:szCs w:val="22"/>
        </w:rPr>
        <w:t>󠆿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>nessuno dei precedenti</w:t>
      </w:r>
    </w:p>
    <w:p w14:paraId="0E80D90D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00139162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la procedura di affidamento rientra tra le categorie di spese ammissibili previste dal progetto approvato;</w:t>
      </w:r>
    </w:p>
    <w:p w14:paraId="09BCFEEC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328C5E8E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Che l’oggetto della procedura di affidamento è specificamente destinato a realizzare il progetto finanziato, nei limiti degli importi previsti dalle corrispondenti voci di costo del quadro economico di progetto</w:t>
      </w:r>
      <w:r>
        <w:rPr>
          <w:rFonts w:ascii="Titillium Web" w:hAnsi="Titillium Web"/>
          <w:sz w:val="22"/>
          <w:szCs w:val="22"/>
        </w:rPr>
        <w:t>;</w:t>
      </w:r>
    </w:p>
    <w:p w14:paraId="4E144545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7AB24DF7" w14:textId="77777777" w:rsidR="00C746A8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D85010">
        <w:rPr>
          <w:rFonts w:ascii="Titillium Web" w:hAnsi="Titillium Web"/>
          <w:sz w:val="22"/>
          <w:szCs w:val="22"/>
        </w:rPr>
        <w:t xml:space="preserve">Che l'acquisto è necessario e funzionale </w:t>
      </w:r>
      <w:r w:rsidRPr="00D85010">
        <w:rPr>
          <w:rFonts w:ascii="Titillium Web" w:hAnsi="Titillium Web"/>
          <w:b/>
          <w:sz w:val="22"/>
          <w:szCs w:val="22"/>
        </w:rPr>
        <w:t>esclusivamente</w:t>
      </w:r>
      <w:r w:rsidRPr="00D85010">
        <w:rPr>
          <w:rFonts w:ascii="Titillium Web" w:hAnsi="Titillium Web"/>
          <w:sz w:val="22"/>
          <w:szCs w:val="22"/>
        </w:rPr>
        <w:t xml:space="preserve"> al conseguimento degli obiettivi realizzativi del progetto di ricerca xxx –Centro Nazionale/Partenariato esteso </w:t>
      </w:r>
      <w:proofErr w:type="spellStart"/>
      <w:r w:rsidRPr="00D85010">
        <w:rPr>
          <w:rFonts w:ascii="Titillium Web" w:hAnsi="Titillium Web"/>
          <w:sz w:val="22"/>
          <w:szCs w:val="22"/>
        </w:rPr>
        <w:t>xxxxx</w:t>
      </w:r>
      <w:proofErr w:type="spellEnd"/>
      <w:r w:rsidRPr="00D85010">
        <w:rPr>
          <w:rFonts w:ascii="Titillium Web" w:hAnsi="Titillium Web"/>
          <w:sz w:val="22"/>
          <w:szCs w:val="22"/>
        </w:rPr>
        <w:t xml:space="preserve"> - PNRR MUR – M4C2 – CN/PE000000xxx </w:t>
      </w:r>
      <w:proofErr w:type="spellStart"/>
      <w:r w:rsidRPr="00D85010">
        <w:rPr>
          <w:rFonts w:ascii="Titillium Web" w:hAnsi="Titillium Web"/>
          <w:sz w:val="22"/>
          <w:szCs w:val="22"/>
        </w:rPr>
        <w:t>xxxx</w:t>
      </w:r>
      <w:proofErr w:type="spellEnd"/>
      <w:r w:rsidRPr="00D85010">
        <w:rPr>
          <w:rFonts w:ascii="Titillium Web" w:hAnsi="Titillium Web"/>
          <w:sz w:val="22"/>
          <w:szCs w:val="22"/>
        </w:rPr>
        <w:t xml:space="preserve">, CUP </w:t>
      </w:r>
      <w:proofErr w:type="spellStart"/>
      <w:r w:rsidRPr="00D85010">
        <w:rPr>
          <w:rFonts w:ascii="Titillium Web" w:hAnsi="Titillium Web"/>
          <w:sz w:val="22"/>
          <w:szCs w:val="22"/>
        </w:rPr>
        <w:t>xxxx</w:t>
      </w:r>
      <w:proofErr w:type="spellEnd"/>
      <w:r w:rsidRPr="00D85010">
        <w:rPr>
          <w:rFonts w:ascii="Titillium Web" w:hAnsi="Titillium Web"/>
          <w:sz w:val="22"/>
          <w:szCs w:val="22"/>
        </w:rPr>
        <w:t xml:space="preserve">, </w:t>
      </w:r>
      <w:proofErr w:type="spellStart"/>
      <w:r w:rsidRPr="00D85010">
        <w:rPr>
          <w:rFonts w:ascii="Titillium Web" w:hAnsi="Titillium Web"/>
          <w:sz w:val="22"/>
          <w:szCs w:val="22"/>
        </w:rPr>
        <w:t>Spoke</w:t>
      </w:r>
      <w:proofErr w:type="spellEnd"/>
      <w:r w:rsidRPr="00D85010">
        <w:rPr>
          <w:rFonts w:ascii="Titillium Web" w:hAnsi="Titillium Web"/>
          <w:sz w:val="22"/>
          <w:szCs w:val="22"/>
        </w:rPr>
        <w:t xml:space="preserve"> </w:t>
      </w:r>
      <w:proofErr w:type="spellStart"/>
      <w:r w:rsidRPr="00D85010">
        <w:rPr>
          <w:rFonts w:ascii="Titillium Web" w:hAnsi="Titillium Web"/>
          <w:sz w:val="22"/>
          <w:szCs w:val="22"/>
        </w:rPr>
        <w:t>xxxx</w:t>
      </w:r>
      <w:proofErr w:type="spellEnd"/>
      <w:r w:rsidRPr="00D85010">
        <w:rPr>
          <w:rFonts w:ascii="Titillium Web" w:hAnsi="Titillium Web"/>
          <w:sz w:val="22"/>
          <w:szCs w:val="22"/>
        </w:rPr>
        <w:t xml:space="preserve">, </w:t>
      </w:r>
      <w:proofErr w:type="spellStart"/>
      <w:r w:rsidRPr="00D85010">
        <w:rPr>
          <w:rFonts w:ascii="Titillium Web" w:hAnsi="Titillium Web"/>
          <w:sz w:val="22"/>
          <w:szCs w:val="22"/>
        </w:rPr>
        <w:t>xxxx</w:t>
      </w:r>
      <w:proofErr w:type="spellEnd"/>
      <w:r w:rsidRPr="00D85010">
        <w:rPr>
          <w:rFonts w:ascii="Titillium Web" w:hAnsi="Titillium Web"/>
          <w:sz w:val="22"/>
          <w:szCs w:val="22"/>
        </w:rPr>
        <w:t>” – fondo del Piano Nazionale di Ripresa e Resilienza (PNRR) di cui all’Avviso D.D. xxx del xxx, e al D.D. n. xxx del xxx di ammissione al finanziamento.</w:t>
      </w:r>
      <w:r w:rsidRPr="00D85010">
        <w:rPr>
          <w:rStyle w:val="Rimandonotaapidipagina"/>
          <w:rFonts w:ascii="Titillium Web" w:hAnsi="Titillium Web"/>
          <w:sz w:val="22"/>
          <w:szCs w:val="22"/>
        </w:rPr>
        <w:footnoteReference w:id="3"/>
      </w:r>
    </w:p>
    <w:p w14:paraId="2565FE22" w14:textId="77777777" w:rsidR="00C746A8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54D32C80" w14:textId="4BC60548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Che </w:t>
      </w:r>
      <w:r w:rsidRPr="006E7006">
        <w:rPr>
          <w:rFonts w:ascii="Titillium Web" w:hAnsi="Titillium Web"/>
          <w:sz w:val="22"/>
          <w:szCs w:val="22"/>
        </w:rPr>
        <w:t>___________________ (</w:t>
      </w:r>
      <w:r w:rsidR="00B0043D">
        <w:rPr>
          <w:rFonts w:ascii="Titillium Web" w:hAnsi="Titillium Web"/>
          <w:sz w:val="22"/>
          <w:szCs w:val="22"/>
        </w:rPr>
        <w:t xml:space="preserve">a cura ufficio acquisti) </w:t>
      </w:r>
    </w:p>
    <w:p w14:paraId="445F15A6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0ECE5168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Padova,</w:t>
      </w:r>
    </w:p>
    <w:p w14:paraId="1C15BCEE" w14:textId="77777777" w:rsidR="00C746A8" w:rsidRPr="006E7006" w:rsidRDefault="00C746A8" w:rsidP="00C746A8">
      <w:pPr>
        <w:jc w:val="both"/>
        <w:rPr>
          <w:rFonts w:ascii="Titillium Web" w:hAnsi="Titillium Web"/>
          <w:sz w:val="22"/>
          <w:szCs w:val="22"/>
        </w:rPr>
      </w:pPr>
    </w:p>
    <w:p w14:paraId="08FDA824" w14:textId="77777777" w:rsidR="00C746A8" w:rsidRPr="001361E9" w:rsidRDefault="00C746A8" w:rsidP="00C746A8">
      <w:pPr>
        <w:spacing w:line="360" w:lineRule="auto"/>
        <w:jc w:val="right"/>
        <w:rPr>
          <w:rFonts w:ascii="Titillium Web" w:hAnsi="Titillium Web"/>
          <w:sz w:val="22"/>
          <w:szCs w:val="22"/>
        </w:rPr>
      </w:pPr>
      <w:r w:rsidRPr="006E7006">
        <w:rPr>
          <w:rFonts w:ascii="Titillium Web" w:hAnsi="Titillium Web"/>
          <w:sz w:val="22"/>
          <w:szCs w:val="22"/>
        </w:rPr>
        <w:t>firma</w:t>
      </w:r>
    </w:p>
    <w:p w14:paraId="062830F8" w14:textId="77777777" w:rsidR="00C746A8" w:rsidRPr="00517E66" w:rsidRDefault="00C746A8" w:rsidP="00C746A8"/>
    <w:p w14:paraId="62ECE9CE" w14:textId="5D96433A" w:rsidR="00836E2E" w:rsidRPr="00C746A8" w:rsidRDefault="002B2E30" w:rsidP="00C746A8"/>
    <w:sectPr w:rsidR="00836E2E" w:rsidRPr="00C746A8" w:rsidSect="000B4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EEB1" w14:textId="77777777" w:rsidR="00FF6D3A" w:rsidRDefault="00FF6D3A" w:rsidP="003D06BE">
      <w:r>
        <w:separator/>
      </w:r>
    </w:p>
  </w:endnote>
  <w:endnote w:type="continuationSeparator" w:id="0">
    <w:p w14:paraId="269C9769" w14:textId="77777777" w:rsidR="00FF6D3A" w:rsidRDefault="00FF6D3A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ourier New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9C8B" w14:textId="77777777" w:rsidR="00B1711B" w:rsidRDefault="00B17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DA2B" w14:textId="77777777" w:rsidR="00B1711B" w:rsidRDefault="00B171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B45D" w14:textId="77777777" w:rsidR="00B1711B" w:rsidRDefault="00B17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F0A4" w14:textId="77777777" w:rsidR="00FF6D3A" w:rsidRDefault="00FF6D3A" w:rsidP="003D06BE">
      <w:r>
        <w:separator/>
      </w:r>
    </w:p>
  </w:footnote>
  <w:footnote w:type="continuationSeparator" w:id="0">
    <w:p w14:paraId="09D65BAD" w14:textId="77777777" w:rsidR="00FF6D3A" w:rsidRDefault="00FF6D3A" w:rsidP="003D06BE">
      <w:r>
        <w:continuationSeparator/>
      </w:r>
    </w:p>
  </w:footnote>
  <w:footnote w:id="1">
    <w:p w14:paraId="4EEB3CEF" w14:textId="77777777" w:rsidR="00C746A8" w:rsidRPr="00C77C29" w:rsidRDefault="00C746A8" w:rsidP="00C746A8">
      <w:pPr>
        <w:jc w:val="both"/>
        <w:rPr>
          <w:rFonts w:ascii="Titillium Web" w:hAnsi="Titillium Web"/>
          <w:sz w:val="15"/>
          <w:szCs w:val="15"/>
        </w:rPr>
      </w:pPr>
      <w:r w:rsidRPr="00C77C29">
        <w:rPr>
          <w:rFonts w:ascii="Titillium Web" w:hAnsi="Titillium Web"/>
          <w:sz w:val="15"/>
          <w:szCs w:val="15"/>
        </w:rPr>
        <w:footnoteRef/>
      </w:r>
      <w:r w:rsidRPr="00C77C29">
        <w:rPr>
          <w:rFonts w:ascii="Titillium Web" w:hAnsi="Titillium Web"/>
          <w:sz w:val="15"/>
          <w:szCs w:val="15"/>
        </w:rPr>
        <w:t xml:space="preserve"> Articolo 4</w:t>
      </w:r>
      <w:r>
        <w:rPr>
          <w:rFonts w:ascii="Titillium Web" w:hAnsi="Titillium Web"/>
          <w:sz w:val="15"/>
          <w:szCs w:val="15"/>
        </w:rPr>
        <w:t xml:space="preserve"> </w:t>
      </w:r>
      <w:r w:rsidRPr="00C77C29">
        <w:rPr>
          <w:rFonts w:ascii="Titillium Web" w:hAnsi="Titillium Web"/>
          <w:sz w:val="15"/>
          <w:szCs w:val="15"/>
        </w:rPr>
        <w:t>del Regolamento (UE)2021/241</w:t>
      </w:r>
      <w:r>
        <w:rPr>
          <w:rFonts w:ascii="Titillium Web" w:hAnsi="Titillium Web"/>
          <w:sz w:val="15"/>
          <w:szCs w:val="15"/>
        </w:rPr>
        <w:t xml:space="preserve"> - </w:t>
      </w:r>
      <w:r w:rsidRPr="00C77C29">
        <w:rPr>
          <w:rFonts w:ascii="Titillium Web" w:hAnsi="Titillium Web"/>
          <w:sz w:val="15"/>
          <w:szCs w:val="15"/>
        </w:rPr>
        <w:t>Obiettivi generali e specifici</w:t>
      </w:r>
      <w:r>
        <w:rPr>
          <w:rFonts w:ascii="Titillium Web" w:hAnsi="Titillium Web"/>
          <w:sz w:val="15"/>
          <w:szCs w:val="15"/>
        </w:rPr>
        <w:t xml:space="preserve">-: </w:t>
      </w:r>
      <w:r w:rsidRPr="00C77C29">
        <w:rPr>
          <w:rFonts w:ascii="Titillium Web" w:hAnsi="Titillium Web"/>
          <w:sz w:val="15"/>
          <w:szCs w:val="15"/>
        </w:rPr>
        <w:t>1. In linea con i sei pilastri di cui all'articolo 3 del presente regolamento, nonché con l</w:t>
      </w:r>
      <w:r>
        <w:rPr>
          <w:rFonts w:ascii="Titillium Web" w:hAnsi="Titillium Web"/>
          <w:sz w:val="15"/>
          <w:szCs w:val="15"/>
        </w:rPr>
        <w:t xml:space="preserve">a coerenza e le sinergie che ne </w:t>
      </w:r>
      <w:r w:rsidRPr="00C77C29">
        <w:rPr>
          <w:rFonts w:ascii="Titillium Web" w:hAnsi="Titillium Web"/>
          <w:sz w:val="15"/>
          <w:szCs w:val="15"/>
        </w:rPr>
        <w:t>derivano, e nell'ambito della crisi COVID-19, l'obiettivo generale del dispositivo è promuovere la coesione economica,</w:t>
      </w:r>
    </w:p>
    <w:p w14:paraId="318D886C" w14:textId="77777777" w:rsidR="00C746A8" w:rsidRPr="00C77C29" w:rsidRDefault="00C746A8" w:rsidP="00C746A8">
      <w:pPr>
        <w:jc w:val="both"/>
        <w:rPr>
          <w:rFonts w:ascii="Titillium Web" w:hAnsi="Titillium Web"/>
          <w:sz w:val="15"/>
          <w:szCs w:val="15"/>
        </w:rPr>
      </w:pPr>
      <w:r w:rsidRPr="00C77C29">
        <w:rPr>
          <w:rFonts w:ascii="Titillium Web" w:hAnsi="Titillium Web"/>
          <w:sz w:val="15"/>
          <w:szCs w:val="15"/>
        </w:rPr>
        <w:t>sociale e territoriale dell'Unione migliorando la resilienza, la preparazione alle crisi, la</w:t>
      </w:r>
      <w:r>
        <w:rPr>
          <w:rFonts w:ascii="Titillium Web" w:hAnsi="Titillium Web"/>
          <w:sz w:val="15"/>
          <w:szCs w:val="15"/>
        </w:rPr>
        <w:t xml:space="preserve"> capacità di aggiustamento e il </w:t>
      </w:r>
      <w:r w:rsidRPr="00C77C29">
        <w:rPr>
          <w:rFonts w:ascii="Titillium Web" w:hAnsi="Titillium Web"/>
          <w:sz w:val="15"/>
          <w:szCs w:val="15"/>
        </w:rPr>
        <w:t>potenziale di crescita degli Stati membri, attenuando l'impatto sociale ed economico di de</w:t>
      </w:r>
      <w:r>
        <w:rPr>
          <w:rFonts w:ascii="Titillium Web" w:hAnsi="Titillium Web"/>
          <w:sz w:val="15"/>
          <w:szCs w:val="15"/>
        </w:rPr>
        <w:t xml:space="preserve">tta crisi, in particolare sulle </w:t>
      </w:r>
      <w:r w:rsidRPr="00C77C29">
        <w:rPr>
          <w:rFonts w:ascii="Titillium Web" w:hAnsi="Titillium Web"/>
          <w:sz w:val="15"/>
          <w:szCs w:val="15"/>
        </w:rPr>
        <w:t>donne, contribuendo all'attuazione del pilastro europeo dei diritti sociali, sostenendo la tra</w:t>
      </w:r>
      <w:r>
        <w:rPr>
          <w:rFonts w:ascii="Titillium Web" w:hAnsi="Titillium Web"/>
          <w:sz w:val="15"/>
          <w:szCs w:val="15"/>
        </w:rPr>
        <w:t xml:space="preserve">nsizione verde, contribuendo al </w:t>
      </w:r>
      <w:r w:rsidRPr="00C77C29">
        <w:rPr>
          <w:rFonts w:ascii="Titillium Web" w:hAnsi="Titillium Web"/>
          <w:sz w:val="15"/>
          <w:szCs w:val="15"/>
        </w:rPr>
        <w:t>raggiungimento degli obiettivi climatici dell'Unione per il 2030 stabiliti nell'articolo 2,</w:t>
      </w:r>
      <w:r>
        <w:rPr>
          <w:rFonts w:ascii="Titillium Web" w:hAnsi="Titillium Web"/>
          <w:sz w:val="15"/>
          <w:szCs w:val="15"/>
        </w:rPr>
        <w:t xml:space="preserve"> punto 11, del regolamento (UE) </w:t>
      </w:r>
      <w:r w:rsidRPr="00C77C29">
        <w:rPr>
          <w:rFonts w:ascii="Titillium Web" w:hAnsi="Titillium Web"/>
          <w:sz w:val="15"/>
          <w:szCs w:val="15"/>
        </w:rPr>
        <w:t>2018/1999, nonché al raggiungimento dell'obiettivo della neutralità climatica dell'UE en</w:t>
      </w:r>
      <w:r>
        <w:rPr>
          <w:rFonts w:ascii="Titillium Web" w:hAnsi="Titillium Web"/>
          <w:sz w:val="15"/>
          <w:szCs w:val="15"/>
        </w:rPr>
        <w:t xml:space="preserve">tro il 2050 e della transizione </w:t>
      </w:r>
      <w:r w:rsidRPr="00C77C29">
        <w:rPr>
          <w:rFonts w:ascii="Titillium Web" w:hAnsi="Titillium Web"/>
          <w:sz w:val="15"/>
          <w:szCs w:val="15"/>
        </w:rPr>
        <w:t>digitale, contribuendo in tal modo alla convergenza economica e sociale verso l'alto, a</w:t>
      </w:r>
      <w:r>
        <w:rPr>
          <w:rFonts w:ascii="Titillium Web" w:hAnsi="Titillium Web"/>
          <w:sz w:val="15"/>
          <w:szCs w:val="15"/>
        </w:rPr>
        <w:t xml:space="preserve"> ripristinare e a promuovere la </w:t>
      </w:r>
      <w:r w:rsidRPr="00C77C29">
        <w:rPr>
          <w:rFonts w:ascii="Titillium Web" w:hAnsi="Titillium Web"/>
          <w:sz w:val="15"/>
          <w:szCs w:val="15"/>
        </w:rPr>
        <w:t>crescita sostenibile e l'integrazione delle economie dell'Unione e a incentivare la creazione di p</w:t>
      </w:r>
      <w:r>
        <w:rPr>
          <w:rFonts w:ascii="Titillium Web" w:hAnsi="Titillium Web"/>
          <w:sz w:val="15"/>
          <w:szCs w:val="15"/>
        </w:rPr>
        <w:t xml:space="preserve">osti di lavoro di alta qualità, </w:t>
      </w:r>
      <w:r w:rsidRPr="00C77C29">
        <w:rPr>
          <w:rFonts w:ascii="Titillium Web" w:hAnsi="Titillium Web"/>
          <w:sz w:val="15"/>
          <w:szCs w:val="15"/>
        </w:rPr>
        <w:t>nonché contribuendo all'autonomia strategica dell'Unione unitamente a un'economi</w:t>
      </w:r>
      <w:r>
        <w:rPr>
          <w:rFonts w:ascii="Titillium Web" w:hAnsi="Titillium Web"/>
          <w:sz w:val="15"/>
          <w:szCs w:val="15"/>
        </w:rPr>
        <w:t xml:space="preserve">a aperta, e generando un valore </w:t>
      </w:r>
      <w:r w:rsidRPr="00C77C29">
        <w:rPr>
          <w:rFonts w:ascii="Titillium Web" w:hAnsi="Titillium Web"/>
          <w:sz w:val="15"/>
          <w:szCs w:val="15"/>
        </w:rPr>
        <w:t>aggiunto europeo.</w:t>
      </w:r>
    </w:p>
  </w:footnote>
  <w:footnote w:id="2">
    <w:p w14:paraId="1DB76AC8" w14:textId="77777777" w:rsidR="00C746A8" w:rsidRDefault="00C746A8" w:rsidP="00C746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="Titillium Web" w:hAnsi="Titillium Web"/>
          <w:sz w:val="15"/>
          <w:szCs w:val="15"/>
        </w:rPr>
        <w:t>C</w:t>
      </w:r>
      <w:r w:rsidRPr="008B33EC">
        <w:rPr>
          <w:rFonts w:ascii="Titillium Web" w:hAnsi="Titillium Web"/>
          <w:sz w:val="15"/>
          <w:szCs w:val="15"/>
        </w:rPr>
        <w:t>d</w:t>
      </w:r>
      <w:proofErr w:type="spellEnd"/>
      <w:r w:rsidRPr="008B33EC">
        <w:rPr>
          <w:rFonts w:ascii="Titillium Web" w:hAnsi="Titillium Web"/>
          <w:sz w:val="15"/>
          <w:szCs w:val="15"/>
        </w:rPr>
        <w:t xml:space="preserve">. </w:t>
      </w:r>
      <w:proofErr w:type="spellStart"/>
      <w:r w:rsidRPr="008B33EC">
        <w:rPr>
          <w:rFonts w:ascii="Titillium Web" w:hAnsi="Titillium Web"/>
          <w:sz w:val="15"/>
          <w:szCs w:val="15"/>
        </w:rPr>
        <w:t>Tagging</w:t>
      </w:r>
      <w:proofErr w:type="spellEnd"/>
      <w:r>
        <w:rPr>
          <w:rFonts w:ascii="Titillium Web" w:hAnsi="Titillium Web"/>
          <w:sz w:val="15"/>
          <w:szCs w:val="15"/>
        </w:rPr>
        <w:t xml:space="preserve">, </w:t>
      </w:r>
      <w:r w:rsidRPr="008B33EC">
        <w:rPr>
          <w:rFonts w:ascii="Titillium Web" w:hAnsi="Titillium Web"/>
          <w:sz w:val="15"/>
          <w:szCs w:val="15"/>
        </w:rPr>
        <w:t>principio del contributo all’</w:t>
      </w:r>
      <w:r>
        <w:rPr>
          <w:rFonts w:ascii="Titillium Web" w:hAnsi="Titillium Web"/>
          <w:sz w:val="15"/>
          <w:szCs w:val="15"/>
        </w:rPr>
        <w:t xml:space="preserve">obiettivo climatico e digitale teso al </w:t>
      </w:r>
      <w:r w:rsidRPr="008B33EC">
        <w:rPr>
          <w:rFonts w:ascii="Titillium Web" w:hAnsi="Titillium Web"/>
          <w:sz w:val="15"/>
          <w:szCs w:val="15"/>
        </w:rPr>
        <w:t>conseguimento e perseguimento degli obiettivi climatici e dell</w:t>
      </w:r>
      <w:r>
        <w:rPr>
          <w:rFonts w:ascii="Titillium Web" w:hAnsi="Titillium Web"/>
          <w:sz w:val="15"/>
          <w:szCs w:val="15"/>
        </w:rPr>
        <w:t xml:space="preserve">a transizione digitale, qualora </w:t>
      </w:r>
      <w:r w:rsidRPr="008B33EC">
        <w:rPr>
          <w:rFonts w:ascii="Titillium Web" w:hAnsi="Titillium Web"/>
          <w:sz w:val="15"/>
          <w:szCs w:val="15"/>
        </w:rPr>
        <w:t>pertinente per la tipologia di intervento considerata</w:t>
      </w:r>
      <w:r>
        <w:rPr>
          <w:rFonts w:ascii="Titillium Web" w:hAnsi="Titillium Web"/>
          <w:sz w:val="15"/>
          <w:szCs w:val="15"/>
        </w:rPr>
        <w:t>.</w:t>
      </w:r>
    </w:p>
  </w:footnote>
  <w:footnote w:id="3">
    <w:p w14:paraId="20884271" w14:textId="77777777" w:rsidR="00C746A8" w:rsidRPr="00641226" w:rsidRDefault="00C746A8" w:rsidP="00C746A8">
      <w:pPr>
        <w:pStyle w:val="Testonotaapidipagina"/>
        <w:jc w:val="both"/>
        <w:rPr>
          <w:rFonts w:ascii="Titillium Web" w:hAnsi="Titillium Web"/>
          <w:sz w:val="15"/>
          <w:szCs w:val="15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tillium Web" w:hAnsi="Titillium Web"/>
          <w:sz w:val="15"/>
          <w:szCs w:val="15"/>
        </w:rPr>
        <w:t>I</w:t>
      </w:r>
      <w:r w:rsidRPr="002E2030">
        <w:rPr>
          <w:rFonts w:ascii="Titillium Web" w:hAnsi="Titillium Web"/>
          <w:sz w:val="15"/>
          <w:szCs w:val="15"/>
        </w:rPr>
        <w:t>n presenza di acquisto di attrezzature, strumen</w:t>
      </w:r>
      <w:r>
        <w:rPr>
          <w:rFonts w:ascii="Titillium Web" w:hAnsi="Titillium Web"/>
          <w:sz w:val="15"/>
          <w:szCs w:val="15"/>
        </w:rPr>
        <w:t xml:space="preserve">tazioni e licenze funzionali al </w:t>
      </w:r>
      <w:r w:rsidRPr="002E2030">
        <w:rPr>
          <w:rFonts w:ascii="Titillium Web" w:hAnsi="Titillium Web"/>
          <w:sz w:val="15"/>
          <w:szCs w:val="15"/>
        </w:rPr>
        <w:t>conseguimento degli obiettivi realizzativi dei progetti finanziati a val</w:t>
      </w:r>
      <w:r>
        <w:rPr>
          <w:rFonts w:ascii="Titillium Web" w:hAnsi="Titillium Web"/>
          <w:sz w:val="15"/>
          <w:szCs w:val="15"/>
        </w:rPr>
        <w:t xml:space="preserve">ere delle iniziative di sistema </w:t>
      </w:r>
      <w:r w:rsidRPr="002E2030">
        <w:rPr>
          <w:rFonts w:ascii="Titillium Web" w:hAnsi="Titillium Web"/>
          <w:sz w:val="15"/>
          <w:szCs w:val="15"/>
        </w:rPr>
        <w:t>della Missione 4, Componente 2, il relativo costo sost</w:t>
      </w:r>
      <w:r>
        <w:rPr>
          <w:rFonts w:ascii="Titillium Web" w:hAnsi="Titillium Web"/>
          <w:sz w:val="15"/>
          <w:szCs w:val="15"/>
        </w:rPr>
        <w:t xml:space="preserve">enuto è rendicontabile al 100%. </w:t>
      </w:r>
      <w:r w:rsidRPr="002E2030">
        <w:rPr>
          <w:rFonts w:ascii="Titillium Web" w:hAnsi="Titillium Web"/>
          <w:sz w:val="15"/>
          <w:szCs w:val="15"/>
        </w:rPr>
        <w:t>Laddove, invece, i sud</w:t>
      </w:r>
      <w:r>
        <w:rPr>
          <w:rFonts w:ascii="Titillium Web" w:hAnsi="Titillium Web"/>
          <w:sz w:val="15"/>
          <w:szCs w:val="15"/>
        </w:rPr>
        <w:t xml:space="preserve">detti beni </w:t>
      </w:r>
      <w:r w:rsidRPr="00641226">
        <w:rPr>
          <w:rFonts w:ascii="Titillium Web" w:hAnsi="Titillium Web"/>
          <w:b/>
          <w:sz w:val="15"/>
          <w:szCs w:val="15"/>
        </w:rPr>
        <w:t>non</w:t>
      </w:r>
      <w:r>
        <w:rPr>
          <w:rFonts w:ascii="Titillium Web" w:hAnsi="Titillium Web"/>
          <w:sz w:val="15"/>
          <w:szCs w:val="15"/>
        </w:rPr>
        <w:t xml:space="preserve"> siano </w:t>
      </w:r>
      <w:r w:rsidRPr="00641226">
        <w:rPr>
          <w:rFonts w:ascii="Titillium Web" w:hAnsi="Titillium Web"/>
          <w:b/>
          <w:sz w:val="15"/>
          <w:szCs w:val="15"/>
        </w:rPr>
        <w:t>funzionali</w:t>
      </w:r>
      <w:r>
        <w:rPr>
          <w:rFonts w:ascii="Titillium Web" w:hAnsi="Titillium Web"/>
          <w:sz w:val="15"/>
          <w:szCs w:val="15"/>
        </w:rPr>
        <w:t xml:space="preserve"> </w:t>
      </w:r>
      <w:r w:rsidRPr="00641226">
        <w:rPr>
          <w:rFonts w:ascii="Titillium Web" w:hAnsi="Titillium Web"/>
          <w:b/>
          <w:sz w:val="15"/>
          <w:szCs w:val="15"/>
        </w:rPr>
        <w:t>esclusivamente</w:t>
      </w:r>
      <w:r>
        <w:rPr>
          <w:rFonts w:ascii="Titillium Web" w:hAnsi="Titillium Web"/>
          <w:sz w:val="15"/>
          <w:szCs w:val="15"/>
        </w:rPr>
        <w:t xml:space="preserve"> al conseguimento dei suddetti </w:t>
      </w:r>
      <w:r w:rsidRPr="002E2030">
        <w:rPr>
          <w:rFonts w:ascii="Titillium Web" w:hAnsi="Titillium Web"/>
          <w:sz w:val="15"/>
          <w:szCs w:val="15"/>
        </w:rPr>
        <w:t>obiettivi, ma anche connessi a ulteriori finalità, in tal caso il relativo costo d’acquisto pot</w:t>
      </w:r>
      <w:r>
        <w:rPr>
          <w:rFonts w:ascii="Titillium Web" w:hAnsi="Titillium Web"/>
          <w:sz w:val="15"/>
          <w:szCs w:val="15"/>
        </w:rPr>
        <w:t xml:space="preserve">rà essere </w:t>
      </w:r>
      <w:r w:rsidRPr="002E2030">
        <w:rPr>
          <w:rFonts w:ascii="Titillium Web" w:hAnsi="Titillium Web"/>
          <w:sz w:val="15"/>
          <w:szCs w:val="15"/>
        </w:rPr>
        <w:t>rendicontato sulla base della quota d’uso effettivamente uti</w:t>
      </w:r>
      <w:r>
        <w:rPr>
          <w:rFonts w:ascii="Titillium Web" w:hAnsi="Titillium Web"/>
          <w:sz w:val="15"/>
          <w:szCs w:val="15"/>
        </w:rPr>
        <w:t xml:space="preserve">lizzata sul programma e secondo </w:t>
      </w:r>
      <w:r w:rsidRPr="002E2030">
        <w:rPr>
          <w:rFonts w:ascii="Titillium Web" w:hAnsi="Titillium Web"/>
          <w:sz w:val="15"/>
          <w:szCs w:val="15"/>
        </w:rPr>
        <w:t>quanto previsto dal paragrafo dedicato 6.2.9 delle Linee Guida</w:t>
      </w:r>
      <w:r>
        <w:rPr>
          <w:rFonts w:ascii="Titillium Web" w:hAnsi="Titillium Web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614B" w14:textId="77777777" w:rsidR="00B1711B" w:rsidRDefault="00B17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C8F7" w14:textId="7E46353A" w:rsidR="003D06BE" w:rsidRDefault="003D06BE" w:rsidP="001D6D15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A55F522" wp14:editId="2A464114">
          <wp:extent cx="7552732" cy="108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06" t="-25073" r="-7250" b="-13305"/>
                  <a:stretch/>
                </pic:blipFill>
                <pic:spPr bwMode="auto">
                  <a:xfrm>
                    <a:off x="0" y="0"/>
                    <a:ext cx="7696706" cy="1100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9752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016"/>
      <w:gridCol w:w="4100"/>
      <w:gridCol w:w="3636"/>
    </w:tblGrid>
    <w:tr w:rsidR="00B1711B" w14:paraId="3DC3A37B" w14:textId="77777777" w:rsidTr="006A53F8">
      <w:tc>
        <w:tcPr>
          <w:tcW w:w="564" w:type="dxa"/>
          <w:tcBorders>
            <w:right w:val="single" w:sz="4" w:space="0" w:color="FFFFFF" w:themeColor="background1"/>
          </w:tcBorders>
        </w:tcPr>
        <w:p w14:paraId="5D75E3EA" w14:textId="3716BA4C" w:rsidR="00A64C61" w:rsidRDefault="00B1711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DF5CA5A" wp14:editId="5BE21BA3">
                <wp:extent cx="1135380" cy="1135380"/>
                <wp:effectExtent l="0" t="0" r="762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I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476" cy="1135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left w:val="single" w:sz="4" w:space="0" w:color="FFFFFF" w:themeColor="background1"/>
          </w:tcBorders>
          <w:vAlign w:val="center"/>
        </w:tcPr>
        <w:p w14:paraId="4230CB7A" w14:textId="4031D67B" w:rsidR="00A64C61" w:rsidRPr="00F130AE" w:rsidRDefault="00A64C61" w:rsidP="006A53F8">
          <w:pPr>
            <w:pStyle w:val="Intestazione"/>
            <w:rPr>
              <w:rFonts w:ascii="Titillium Web" w:hAnsi="Titillium Web"/>
              <w:sz w:val="15"/>
              <w:szCs w:val="15"/>
            </w:rPr>
          </w:pPr>
          <w:r w:rsidRPr="00F130AE">
            <w:rPr>
              <w:rFonts w:ascii="Titillium Web" w:hAnsi="Titillium Web"/>
              <w:sz w:val="15"/>
              <w:szCs w:val="15"/>
            </w:rPr>
            <w:t xml:space="preserve">Via </w:t>
          </w:r>
          <w:proofErr w:type="spellStart"/>
          <w:r w:rsidR="00810984" w:rsidRPr="00F130AE">
            <w:rPr>
              <w:rFonts w:ascii="Titillium Web" w:hAnsi="Titillium Web"/>
              <w:sz w:val="15"/>
              <w:szCs w:val="15"/>
            </w:rPr>
            <w:t>Gradenigo</w:t>
          </w:r>
          <w:proofErr w:type="spellEnd"/>
          <w:r w:rsidR="00810984" w:rsidRPr="00F130AE">
            <w:rPr>
              <w:rFonts w:ascii="Titillium Web" w:hAnsi="Titillium Web"/>
              <w:sz w:val="15"/>
              <w:szCs w:val="15"/>
            </w:rPr>
            <w:t xml:space="preserve"> 6/B, 35131</w:t>
          </w:r>
          <w:r w:rsidRPr="00F130AE">
            <w:rPr>
              <w:rFonts w:ascii="Titillium Web" w:hAnsi="Titillium Web"/>
              <w:sz w:val="15"/>
              <w:szCs w:val="15"/>
            </w:rPr>
            <w:t xml:space="preserve"> Padova</w:t>
          </w:r>
          <w:r w:rsidR="00810984" w:rsidRPr="00F130AE">
            <w:rPr>
              <w:rFonts w:ascii="Titillium Web" w:hAnsi="Titillium Web"/>
              <w:sz w:val="15"/>
              <w:szCs w:val="15"/>
            </w:rPr>
            <w:t xml:space="preserve"> (PD)</w:t>
          </w:r>
        </w:p>
        <w:p w14:paraId="53C9460B" w14:textId="77777777" w:rsidR="00A64C61" w:rsidRDefault="00A64C61" w:rsidP="006A53F8">
          <w:pPr>
            <w:pStyle w:val="Intestazione"/>
            <w:rPr>
              <w:rFonts w:ascii="Titillium Web" w:hAnsi="Titillium Web"/>
              <w:sz w:val="15"/>
              <w:szCs w:val="15"/>
            </w:rPr>
          </w:pPr>
          <w:proofErr w:type="spellStart"/>
          <w:r w:rsidRPr="00F130AE">
            <w:rPr>
              <w:rFonts w:ascii="Titillium Web" w:hAnsi="Titillium Web"/>
              <w:sz w:val="15"/>
              <w:szCs w:val="15"/>
            </w:rPr>
            <w:t>Cf</w:t>
          </w:r>
          <w:proofErr w:type="spellEnd"/>
          <w:r w:rsidRPr="00F130AE">
            <w:rPr>
              <w:rFonts w:ascii="Titillium Web" w:hAnsi="Titillium Web"/>
              <w:sz w:val="15"/>
              <w:szCs w:val="15"/>
            </w:rPr>
            <w:t xml:space="preserve">: </w:t>
          </w:r>
          <w:r w:rsidR="00810984" w:rsidRPr="00F130AE">
            <w:rPr>
              <w:rFonts w:ascii="Titillium Web" w:hAnsi="Titillium Web"/>
              <w:sz w:val="15"/>
              <w:szCs w:val="15"/>
            </w:rPr>
            <w:t>80006480281</w:t>
          </w:r>
        </w:p>
        <w:p w14:paraId="0A95C5F8" w14:textId="2EE851FE" w:rsidR="0060582C" w:rsidRDefault="0060582C" w:rsidP="006A53F8">
          <w:pPr>
            <w:pStyle w:val="Intestazione"/>
          </w:pPr>
          <w:proofErr w:type="spellStart"/>
          <w:r>
            <w:rPr>
              <w:rFonts w:ascii="Titillium Web" w:hAnsi="Titillium Web"/>
              <w:sz w:val="15"/>
              <w:szCs w:val="15"/>
            </w:rPr>
            <w:t>p.iva</w:t>
          </w:r>
          <w:proofErr w:type="spellEnd"/>
          <w:r>
            <w:rPr>
              <w:rFonts w:ascii="Titillium Web" w:hAnsi="Titillium Web"/>
              <w:sz w:val="15"/>
              <w:szCs w:val="15"/>
            </w:rPr>
            <w:t xml:space="preserve">: </w:t>
          </w:r>
          <w:r w:rsidRPr="0060582C">
            <w:rPr>
              <w:rFonts w:ascii="Titillium Web" w:hAnsi="Titillium Web"/>
              <w:sz w:val="15"/>
              <w:szCs w:val="15"/>
            </w:rPr>
            <w:t>00742430283</w:t>
          </w:r>
        </w:p>
      </w:tc>
      <w:tc>
        <w:tcPr>
          <w:tcW w:w="4226" w:type="dxa"/>
        </w:tcPr>
        <w:p w14:paraId="4999A80F" w14:textId="067958B4" w:rsidR="00A64C61" w:rsidRPr="00F130AE" w:rsidRDefault="00A64C61" w:rsidP="003D06BE">
          <w:pPr>
            <w:pStyle w:val="Intestazione"/>
            <w:jc w:val="right"/>
            <w:rPr>
              <w:rFonts w:ascii="Titillium Web" w:hAnsi="Titillium Web"/>
              <w:b/>
              <w:bCs/>
              <w:sz w:val="15"/>
              <w:szCs w:val="15"/>
            </w:rPr>
          </w:pPr>
          <w:proofErr w:type="spellStart"/>
          <w:r w:rsidRPr="00F130AE">
            <w:rPr>
              <w:rFonts w:ascii="Titillium Web" w:hAnsi="Titillium Web"/>
              <w:b/>
              <w:bCs/>
              <w:sz w:val="15"/>
              <w:szCs w:val="15"/>
            </w:rPr>
            <w:t>xxxxx</w:t>
          </w:r>
          <w:proofErr w:type="spellEnd"/>
        </w:p>
        <w:p w14:paraId="26D11766" w14:textId="2DE8D6C9" w:rsidR="00A64C61" w:rsidRPr="00F130AE" w:rsidRDefault="00A64C61" w:rsidP="003D06BE">
          <w:pPr>
            <w:pStyle w:val="Intestazione"/>
            <w:jc w:val="right"/>
            <w:rPr>
              <w:rFonts w:ascii="Titillium Web" w:hAnsi="Titillium Web"/>
              <w:sz w:val="15"/>
              <w:szCs w:val="15"/>
              <w:highlight w:val="yellow"/>
            </w:rPr>
          </w:pPr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PNRR – Missione xxxx4: Istruzione e ricerca</w:t>
          </w:r>
        </w:p>
        <w:p w14:paraId="2ED85F10" w14:textId="482A7DE0" w:rsidR="00A64C61" w:rsidRPr="003D06BE" w:rsidRDefault="00A64C61" w:rsidP="003D06BE">
          <w:pPr>
            <w:pStyle w:val="Intestazione"/>
            <w:jc w:val="right"/>
            <w:rPr>
              <w:sz w:val="15"/>
              <w:szCs w:val="15"/>
            </w:rPr>
          </w:pPr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 xml:space="preserve">Componente 2: </w:t>
          </w:r>
          <w:proofErr w:type="spellStart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xxxxxxxx</w:t>
          </w:r>
          <w:proofErr w:type="spellEnd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br/>
            <w:t xml:space="preserve">Investimento </w:t>
          </w:r>
          <w:proofErr w:type="spellStart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xxxx</w:t>
          </w:r>
          <w:proofErr w:type="spellEnd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 xml:space="preserve">, finanziato dall’Unione Europea – </w:t>
          </w:r>
          <w:proofErr w:type="spellStart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NextGenerationEU</w:t>
          </w:r>
          <w:proofErr w:type="spellEnd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br/>
            <w:t xml:space="preserve">Progetto </w:t>
          </w:r>
          <w:proofErr w:type="spellStart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xxxxx</w:t>
          </w:r>
          <w:proofErr w:type="spellEnd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 xml:space="preserve"> (Area tematica: </w:t>
          </w:r>
          <w:proofErr w:type="spellStart"/>
          <w:r w:rsidRPr="00F130AE">
            <w:rPr>
              <w:rFonts w:ascii="Titillium Web" w:hAnsi="Titillium Web"/>
              <w:sz w:val="15"/>
              <w:szCs w:val="15"/>
              <w:highlight w:val="yellow"/>
            </w:rPr>
            <w:t>xxxxxxxxx</w:t>
          </w:r>
          <w:proofErr w:type="spellEnd"/>
          <w:r w:rsidRPr="00F130AE">
            <w:rPr>
              <w:rFonts w:ascii="Titillium Web" w:hAnsi="Titillium Web"/>
              <w:sz w:val="15"/>
              <w:szCs w:val="15"/>
            </w:rPr>
            <w:t>)</w:t>
          </w:r>
        </w:p>
      </w:tc>
    </w:tr>
  </w:tbl>
  <w:p w14:paraId="36968FAB" w14:textId="77777777" w:rsidR="003D06BE" w:rsidRDefault="003D06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B19D" w14:textId="77777777" w:rsidR="00B1711B" w:rsidRDefault="00B17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BB9"/>
    <w:multiLevelType w:val="hybridMultilevel"/>
    <w:tmpl w:val="E40A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E"/>
    <w:rsid w:val="00083A9B"/>
    <w:rsid w:val="000B4D75"/>
    <w:rsid w:val="000B7549"/>
    <w:rsid w:val="000E724C"/>
    <w:rsid w:val="001158FD"/>
    <w:rsid w:val="00115932"/>
    <w:rsid w:val="00195F08"/>
    <w:rsid w:val="001C67E1"/>
    <w:rsid w:val="001D6D15"/>
    <w:rsid w:val="002157A9"/>
    <w:rsid w:val="00273D3C"/>
    <w:rsid w:val="002B2E30"/>
    <w:rsid w:val="002E289B"/>
    <w:rsid w:val="002E7F2E"/>
    <w:rsid w:val="003D06BE"/>
    <w:rsid w:val="004B23E8"/>
    <w:rsid w:val="00524A8C"/>
    <w:rsid w:val="0060582C"/>
    <w:rsid w:val="00657FCA"/>
    <w:rsid w:val="00684BA5"/>
    <w:rsid w:val="006A53F8"/>
    <w:rsid w:val="007666A7"/>
    <w:rsid w:val="007B1D94"/>
    <w:rsid w:val="00810984"/>
    <w:rsid w:val="008B57E0"/>
    <w:rsid w:val="008C52DC"/>
    <w:rsid w:val="009A4964"/>
    <w:rsid w:val="00A64C61"/>
    <w:rsid w:val="00B0043D"/>
    <w:rsid w:val="00B1711B"/>
    <w:rsid w:val="00BF0282"/>
    <w:rsid w:val="00C746A8"/>
    <w:rsid w:val="00D06BDD"/>
    <w:rsid w:val="00D4278F"/>
    <w:rsid w:val="00DB6590"/>
    <w:rsid w:val="00E21A64"/>
    <w:rsid w:val="00E647CF"/>
    <w:rsid w:val="00EB0A08"/>
    <w:rsid w:val="00ED1192"/>
    <w:rsid w:val="00F130AE"/>
    <w:rsid w:val="00F4730A"/>
    <w:rsid w:val="00F93CC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64C61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657F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FC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6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Bedin Silvia</cp:lastModifiedBy>
  <cp:revision>5</cp:revision>
  <cp:lastPrinted>2023-01-19T12:00:00Z</cp:lastPrinted>
  <dcterms:created xsi:type="dcterms:W3CDTF">2023-04-14T09:22:00Z</dcterms:created>
  <dcterms:modified xsi:type="dcterms:W3CDTF">2023-07-03T11:41:00Z</dcterms:modified>
</cp:coreProperties>
</file>